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24BFA" w14:textId="77777777" w:rsidR="00990F9A" w:rsidRPr="00990F9A" w:rsidRDefault="00990F9A" w:rsidP="00990F9A">
      <w:pPr>
        <w:widowControl/>
        <w:shd w:val="clear" w:color="auto" w:fill="FFFFFF"/>
        <w:spacing w:line="420" w:lineRule="atLeast"/>
        <w:ind w:firstLine="480"/>
        <w:jc w:val="center"/>
        <w:rPr>
          <w:rFonts w:ascii="Arial" w:eastAsia="宋体" w:hAnsi="Arial" w:cs="Arial"/>
          <w:color w:val="000000"/>
          <w:kern w:val="0"/>
          <w:szCs w:val="21"/>
        </w:rPr>
      </w:pPr>
      <w:r w:rsidRPr="00990F9A">
        <w:rPr>
          <w:rFonts w:ascii="Arial" w:eastAsia="宋体" w:hAnsi="Arial" w:cs="Arial"/>
          <w:b/>
          <w:bCs/>
          <w:color w:val="000000"/>
          <w:kern w:val="0"/>
          <w:sz w:val="24"/>
          <w:szCs w:val="24"/>
        </w:rPr>
        <w:t>财政部</w:t>
      </w:r>
      <w:r w:rsidRPr="00990F9A">
        <w:rPr>
          <w:rFonts w:ascii="Arial" w:eastAsia="宋体" w:hAnsi="Arial" w:cs="Arial"/>
          <w:b/>
          <w:bCs/>
          <w:color w:val="000000"/>
          <w:kern w:val="0"/>
          <w:sz w:val="24"/>
          <w:szCs w:val="24"/>
        </w:rPr>
        <w:t xml:space="preserve"> </w:t>
      </w:r>
      <w:r w:rsidRPr="00990F9A">
        <w:rPr>
          <w:rFonts w:ascii="Arial" w:eastAsia="宋体" w:hAnsi="Arial" w:cs="Arial"/>
          <w:b/>
          <w:bCs/>
          <w:color w:val="000000"/>
          <w:kern w:val="0"/>
          <w:sz w:val="24"/>
          <w:szCs w:val="24"/>
        </w:rPr>
        <w:t>中国人民银行关于</w:t>
      </w:r>
    </w:p>
    <w:p w14:paraId="37999428" w14:textId="77777777" w:rsidR="00990F9A" w:rsidRPr="00990F9A" w:rsidRDefault="00990F9A" w:rsidP="00990F9A">
      <w:pPr>
        <w:widowControl/>
        <w:shd w:val="clear" w:color="auto" w:fill="FFFFFF"/>
        <w:spacing w:line="420" w:lineRule="atLeast"/>
        <w:ind w:firstLine="480"/>
        <w:jc w:val="center"/>
        <w:rPr>
          <w:rFonts w:ascii="Arial" w:eastAsia="宋体" w:hAnsi="Arial" w:cs="Arial"/>
          <w:color w:val="000000"/>
          <w:kern w:val="0"/>
          <w:szCs w:val="21"/>
        </w:rPr>
      </w:pPr>
      <w:r w:rsidRPr="00990F9A">
        <w:rPr>
          <w:rFonts w:ascii="Arial" w:eastAsia="宋体" w:hAnsi="Arial" w:cs="Arial"/>
          <w:b/>
          <w:bCs/>
          <w:color w:val="000000"/>
          <w:kern w:val="0"/>
          <w:sz w:val="24"/>
          <w:szCs w:val="24"/>
        </w:rPr>
        <w:t>调整中央预算单位银行账户管理有关事项的通知</w:t>
      </w:r>
    </w:p>
    <w:p w14:paraId="19D5904F" w14:textId="77777777" w:rsidR="00990F9A" w:rsidRPr="00990F9A" w:rsidRDefault="00990F9A" w:rsidP="00990F9A">
      <w:pPr>
        <w:widowControl/>
        <w:shd w:val="clear" w:color="auto" w:fill="FFFFFF"/>
        <w:spacing w:line="420" w:lineRule="atLeast"/>
        <w:ind w:firstLine="480"/>
        <w:jc w:val="center"/>
        <w:rPr>
          <w:rFonts w:ascii="Arial" w:eastAsia="宋体" w:hAnsi="Arial" w:cs="Arial"/>
          <w:color w:val="000000"/>
          <w:kern w:val="0"/>
          <w:szCs w:val="21"/>
        </w:rPr>
      </w:pPr>
      <w:r w:rsidRPr="00990F9A">
        <w:rPr>
          <w:rFonts w:ascii="Arial" w:eastAsia="宋体" w:hAnsi="Arial" w:cs="Arial"/>
          <w:color w:val="000000"/>
          <w:kern w:val="0"/>
          <w:szCs w:val="21"/>
        </w:rPr>
        <w:t>财库〔</w:t>
      </w:r>
      <w:r w:rsidRPr="00990F9A">
        <w:rPr>
          <w:rFonts w:ascii="Arial" w:eastAsia="宋体" w:hAnsi="Arial" w:cs="Arial"/>
          <w:color w:val="000000"/>
          <w:kern w:val="0"/>
          <w:szCs w:val="21"/>
        </w:rPr>
        <w:t>2016</w:t>
      </w:r>
      <w:r w:rsidRPr="00990F9A">
        <w:rPr>
          <w:rFonts w:ascii="Arial" w:eastAsia="宋体" w:hAnsi="Arial" w:cs="Arial"/>
          <w:color w:val="000000"/>
          <w:kern w:val="0"/>
          <w:szCs w:val="21"/>
        </w:rPr>
        <w:t>〕</w:t>
      </w:r>
      <w:r w:rsidRPr="00990F9A">
        <w:rPr>
          <w:rFonts w:ascii="Arial" w:eastAsia="宋体" w:hAnsi="Arial" w:cs="Arial"/>
          <w:color w:val="000000"/>
          <w:kern w:val="0"/>
          <w:szCs w:val="21"/>
        </w:rPr>
        <w:t>210</w:t>
      </w:r>
      <w:r w:rsidRPr="00990F9A">
        <w:rPr>
          <w:rFonts w:ascii="Arial" w:eastAsia="宋体" w:hAnsi="Arial" w:cs="Arial"/>
          <w:color w:val="000000"/>
          <w:kern w:val="0"/>
          <w:szCs w:val="21"/>
        </w:rPr>
        <w:t>号</w:t>
      </w:r>
    </w:p>
    <w:p w14:paraId="310DEF02" w14:textId="77777777" w:rsidR="00990F9A" w:rsidRPr="00990F9A" w:rsidRDefault="00990F9A" w:rsidP="00990F9A">
      <w:pPr>
        <w:widowControl/>
        <w:shd w:val="clear" w:color="auto" w:fill="FFFFFF"/>
        <w:spacing w:line="420" w:lineRule="atLeast"/>
        <w:ind w:firstLine="480"/>
        <w:jc w:val="left"/>
        <w:rPr>
          <w:rFonts w:ascii="Arial" w:eastAsia="宋体" w:hAnsi="Arial" w:cs="Arial"/>
          <w:color w:val="000000"/>
          <w:kern w:val="0"/>
          <w:szCs w:val="21"/>
        </w:rPr>
      </w:pPr>
    </w:p>
    <w:p w14:paraId="7E96DE10"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党中央有关部门，国务院各部委、各直属机构，全国人大常委会办公厅，全国政协办公厅，高法院，高检院，各人民团体，新疆生产建设兵团，中央财政预算单列的企业集团总公司，财政部驻各省、自治区、直辖市、计划单列市财政监察专员办事处，中国人民银行上海总部，各分行、营业管理部，各省会（首府）城市中心支行，深圳市中心支行：</w:t>
      </w:r>
    </w:p>
    <w:p w14:paraId="7CD210CF"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按照中央全面深化改革要求，为贯彻落实国务院关于</w:t>
      </w:r>
      <w:r w:rsidRPr="00990F9A">
        <w:rPr>
          <w:rFonts w:ascii="Arial" w:eastAsia="宋体" w:hAnsi="Arial" w:cs="Arial"/>
          <w:color w:val="000000"/>
          <w:kern w:val="0"/>
          <w:szCs w:val="21"/>
        </w:rPr>
        <w:t>“</w:t>
      </w:r>
      <w:r w:rsidRPr="00990F9A">
        <w:rPr>
          <w:rFonts w:ascii="Arial" w:eastAsia="宋体" w:hAnsi="Arial" w:cs="Arial"/>
          <w:color w:val="000000"/>
          <w:kern w:val="0"/>
          <w:szCs w:val="21"/>
        </w:rPr>
        <w:t>简政放权、放管结合、优化服务</w:t>
      </w:r>
      <w:r w:rsidRPr="00990F9A">
        <w:rPr>
          <w:rFonts w:ascii="Arial" w:eastAsia="宋体" w:hAnsi="Arial" w:cs="Arial"/>
          <w:color w:val="000000"/>
          <w:kern w:val="0"/>
          <w:szCs w:val="21"/>
        </w:rPr>
        <w:t>”</w:t>
      </w:r>
      <w:r w:rsidRPr="00990F9A">
        <w:rPr>
          <w:rFonts w:ascii="Arial" w:eastAsia="宋体" w:hAnsi="Arial" w:cs="Arial"/>
          <w:color w:val="000000"/>
          <w:kern w:val="0"/>
          <w:szCs w:val="21"/>
        </w:rPr>
        <w:t>的改革精神，完善中央预算单位（以下简称中央单位）银行账户管理，进一步理顺管理职责，财政部、中国人民银行决定对《财政部　中国人民银行　监察部　审计署关于印发〈</w:t>
      </w:r>
      <w:hyperlink r:id="rId4" w:tgtFrame="_blank" w:history="1">
        <w:r w:rsidRPr="00990F9A">
          <w:rPr>
            <w:rFonts w:ascii="Arial" w:eastAsia="宋体" w:hAnsi="Arial" w:cs="Arial"/>
            <w:color w:val="595959"/>
            <w:kern w:val="0"/>
            <w:szCs w:val="21"/>
            <w:u w:val="single"/>
          </w:rPr>
          <w:t>中央预算单位银行账户管理暂行办法</w:t>
        </w:r>
      </w:hyperlink>
      <w:r w:rsidRPr="00990F9A">
        <w:rPr>
          <w:rFonts w:ascii="Arial" w:eastAsia="宋体" w:hAnsi="Arial" w:cs="Arial"/>
          <w:color w:val="000000"/>
          <w:kern w:val="0"/>
          <w:szCs w:val="21"/>
        </w:rPr>
        <w:t>〉的通知》（</w:t>
      </w:r>
      <w:hyperlink r:id="rId5" w:tgtFrame="_blank" w:history="1">
        <w:r w:rsidRPr="00990F9A">
          <w:rPr>
            <w:rFonts w:ascii="Arial" w:eastAsia="宋体" w:hAnsi="Arial" w:cs="Arial"/>
            <w:color w:val="595959"/>
            <w:kern w:val="0"/>
            <w:szCs w:val="21"/>
            <w:u w:val="single"/>
          </w:rPr>
          <w:t>财库〔</w:t>
        </w:r>
        <w:r w:rsidRPr="00990F9A">
          <w:rPr>
            <w:rFonts w:ascii="Arial" w:eastAsia="宋体" w:hAnsi="Arial" w:cs="Arial"/>
            <w:color w:val="595959"/>
            <w:kern w:val="0"/>
            <w:szCs w:val="21"/>
            <w:u w:val="single"/>
          </w:rPr>
          <w:t>2002</w:t>
        </w:r>
        <w:r w:rsidRPr="00990F9A">
          <w:rPr>
            <w:rFonts w:ascii="Arial" w:eastAsia="宋体" w:hAnsi="Arial" w:cs="Arial"/>
            <w:color w:val="595959"/>
            <w:kern w:val="0"/>
            <w:szCs w:val="21"/>
            <w:u w:val="single"/>
          </w:rPr>
          <w:t>〕</w:t>
        </w:r>
        <w:r w:rsidRPr="00990F9A">
          <w:rPr>
            <w:rFonts w:ascii="Arial" w:eastAsia="宋体" w:hAnsi="Arial" w:cs="Arial"/>
            <w:color w:val="595959"/>
            <w:kern w:val="0"/>
            <w:szCs w:val="21"/>
            <w:u w:val="single"/>
          </w:rPr>
          <w:t>48</w:t>
        </w:r>
        <w:r w:rsidRPr="00990F9A">
          <w:rPr>
            <w:rFonts w:ascii="Arial" w:eastAsia="宋体" w:hAnsi="Arial" w:cs="Arial"/>
            <w:color w:val="595959"/>
            <w:kern w:val="0"/>
            <w:szCs w:val="21"/>
            <w:u w:val="single"/>
          </w:rPr>
          <w:t>号</w:t>
        </w:r>
      </w:hyperlink>
      <w:r w:rsidRPr="00990F9A">
        <w:rPr>
          <w:rFonts w:ascii="Arial" w:eastAsia="宋体" w:hAnsi="Arial" w:cs="Arial"/>
          <w:color w:val="000000"/>
          <w:kern w:val="0"/>
          <w:szCs w:val="21"/>
        </w:rPr>
        <w:t>）及其补充规定中的单位范围、管理方式及年检工作等事项进行调整。现通知如下：</w:t>
      </w:r>
    </w:p>
    <w:p w14:paraId="21DBBEED" w14:textId="77777777" w:rsidR="00990F9A" w:rsidRPr="00990F9A" w:rsidRDefault="00990F9A" w:rsidP="00990F9A">
      <w:pPr>
        <w:widowControl/>
        <w:shd w:val="clear" w:color="auto" w:fill="FFFFFF"/>
        <w:spacing w:line="420" w:lineRule="atLeast"/>
        <w:ind w:firstLine="482"/>
        <w:rPr>
          <w:rFonts w:ascii="Arial" w:eastAsia="宋体" w:hAnsi="Arial" w:cs="Arial"/>
          <w:color w:val="000000"/>
          <w:kern w:val="0"/>
          <w:szCs w:val="21"/>
        </w:rPr>
      </w:pPr>
      <w:r w:rsidRPr="00990F9A">
        <w:rPr>
          <w:rFonts w:ascii="Arial" w:eastAsia="宋体" w:hAnsi="Arial" w:cs="Arial"/>
          <w:b/>
          <w:bCs/>
          <w:color w:val="000000"/>
          <w:kern w:val="0"/>
          <w:szCs w:val="21"/>
        </w:rPr>
        <w:t>一、调整银行账户管理的单位范围</w:t>
      </w:r>
    </w:p>
    <w:p w14:paraId="063848F7"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下列中央单位，财政部门将不再进行账户审批、备案等管理，相关银行账户管理工作交由中央单位自主负责。具体包括：</w:t>
      </w:r>
    </w:p>
    <w:p w14:paraId="3853EE6B"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（一）无财政预算拨款的中央企业集团总公司及所属单位；</w:t>
      </w:r>
    </w:p>
    <w:p w14:paraId="06EE4BAD"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（二）无财政预算拨款的政企合一单位；</w:t>
      </w:r>
    </w:p>
    <w:p w14:paraId="7ED9E64A"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（三）与中央单位存在代管或挂靠关系，但无财政预算拨款的学会、协会、研究会、基金会、各种中心等社团组织；</w:t>
      </w:r>
    </w:p>
    <w:p w14:paraId="086498CD"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（四）按照中共中央办公厅、国务院办公厅印发的《</w:t>
      </w:r>
      <w:hyperlink r:id="rId6" w:tgtFrame="_blank" w:history="1">
        <w:r w:rsidRPr="00990F9A">
          <w:rPr>
            <w:rFonts w:ascii="Arial" w:eastAsia="宋体" w:hAnsi="Arial" w:cs="Arial"/>
            <w:color w:val="595959"/>
            <w:kern w:val="0"/>
            <w:szCs w:val="21"/>
            <w:u w:val="single"/>
          </w:rPr>
          <w:t>行业协会商会与行政机关脱钩总体方案</w:t>
        </w:r>
      </w:hyperlink>
      <w:r w:rsidRPr="00990F9A">
        <w:rPr>
          <w:rFonts w:ascii="Arial" w:eastAsia="宋体" w:hAnsi="Arial" w:cs="Arial"/>
          <w:color w:val="000000"/>
          <w:kern w:val="0"/>
          <w:szCs w:val="21"/>
        </w:rPr>
        <w:t>》，已取消与行政机关主办、主管、联系或挂靠关系的单位；</w:t>
      </w:r>
    </w:p>
    <w:p w14:paraId="1646A3F4"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（五）其他无财政预算拨款的单位。</w:t>
      </w:r>
    </w:p>
    <w:p w14:paraId="2F0C72F3"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本通知所称</w:t>
      </w:r>
      <w:r w:rsidRPr="00990F9A">
        <w:rPr>
          <w:rFonts w:ascii="Arial" w:eastAsia="宋体" w:hAnsi="Arial" w:cs="Arial"/>
          <w:color w:val="000000"/>
          <w:kern w:val="0"/>
          <w:szCs w:val="21"/>
        </w:rPr>
        <w:t>“</w:t>
      </w:r>
      <w:r w:rsidRPr="00990F9A">
        <w:rPr>
          <w:rFonts w:ascii="Arial" w:eastAsia="宋体" w:hAnsi="Arial" w:cs="Arial"/>
          <w:color w:val="000000"/>
          <w:kern w:val="0"/>
          <w:szCs w:val="21"/>
        </w:rPr>
        <w:t>无财政预算拨款</w:t>
      </w:r>
      <w:r w:rsidRPr="00990F9A">
        <w:rPr>
          <w:rFonts w:ascii="Arial" w:eastAsia="宋体" w:hAnsi="Arial" w:cs="Arial"/>
          <w:color w:val="000000"/>
          <w:kern w:val="0"/>
          <w:szCs w:val="21"/>
        </w:rPr>
        <w:t>”</w:t>
      </w:r>
      <w:r w:rsidRPr="00990F9A">
        <w:rPr>
          <w:rFonts w:ascii="Arial" w:eastAsia="宋体" w:hAnsi="Arial" w:cs="Arial"/>
          <w:color w:val="000000"/>
          <w:kern w:val="0"/>
          <w:szCs w:val="21"/>
        </w:rPr>
        <w:t>单位，是指未列入中央财政部门预算，无</w:t>
      </w:r>
      <w:r w:rsidRPr="00990F9A">
        <w:rPr>
          <w:rFonts w:ascii="Arial" w:eastAsia="宋体" w:hAnsi="Arial" w:cs="Arial"/>
          <w:color w:val="000000"/>
          <w:kern w:val="0"/>
          <w:szCs w:val="21"/>
        </w:rPr>
        <w:t>“</w:t>
      </w:r>
      <w:r w:rsidRPr="00990F9A">
        <w:rPr>
          <w:rFonts w:ascii="Arial" w:eastAsia="宋体" w:hAnsi="Arial" w:cs="Arial"/>
          <w:color w:val="000000"/>
          <w:kern w:val="0"/>
          <w:szCs w:val="21"/>
        </w:rPr>
        <w:t>财政拨款收入</w:t>
      </w:r>
      <w:r w:rsidRPr="00990F9A">
        <w:rPr>
          <w:rFonts w:ascii="Arial" w:eastAsia="宋体" w:hAnsi="Arial" w:cs="Arial"/>
          <w:color w:val="000000"/>
          <w:kern w:val="0"/>
          <w:szCs w:val="21"/>
        </w:rPr>
        <w:t>”</w:t>
      </w:r>
      <w:r w:rsidRPr="00990F9A">
        <w:rPr>
          <w:rFonts w:ascii="Arial" w:eastAsia="宋体" w:hAnsi="Arial" w:cs="Arial"/>
          <w:color w:val="000000"/>
          <w:kern w:val="0"/>
          <w:szCs w:val="21"/>
        </w:rPr>
        <w:t>或</w:t>
      </w:r>
      <w:r w:rsidRPr="00990F9A">
        <w:rPr>
          <w:rFonts w:ascii="Arial" w:eastAsia="宋体" w:hAnsi="Arial" w:cs="Arial"/>
          <w:color w:val="000000"/>
          <w:kern w:val="0"/>
          <w:szCs w:val="21"/>
        </w:rPr>
        <w:t>“</w:t>
      </w:r>
      <w:r w:rsidRPr="00990F9A">
        <w:rPr>
          <w:rFonts w:ascii="Arial" w:eastAsia="宋体" w:hAnsi="Arial" w:cs="Arial"/>
          <w:color w:val="000000"/>
          <w:kern w:val="0"/>
          <w:szCs w:val="21"/>
        </w:rPr>
        <w:t>财政补助收入</w:t>
      </w:r>
      <w:r w:rsidRPr="00990F9A">
        <w:rPr>
          <w:rFonts w:ascii="Arial" w:eastAsia="宋体" w:hAnsi="Arial" w:cs="Arial"/>
          <w:color w:val="000000"/>
          <w:kern w:val="0"/>
          <w:szCs w:val="21"/>
        </w:rPr>
        <w:t>”</w:t>
      </w:r>
      <w:r w:rsidRPr="00990F9A">
        <w:rPr>
          <w:rFonts w:ascii="Arial" w:eastAsia="宋体" w:hAnsi="Arial" w:cs="Arial"/>
          <w:color w:val="000000"/>
          <w:kern w:val="0"/>
          <w:szCs w:val="21"/>
        </w:rPr>
        <w:t>的单位。除本通知规定的上述五类单位外，其他中央单位银行账户管理工作仍按</w:t>
      </w:r>
      <w:hyperlink r:id="rId7" w:tgtFrame="_blank" w:history="1">
        <w:r w:rsidRPr="00990F9A">
          <w:rPr>
            <w:rFonts w:ascii="Arial" w:eastAsia="宋体" w:hAnsi="Arial" w:cs="Arial"/>
            <w:color w:val="595959"/>
            <w:kern w:val="0"/>
            <w:szCs w:val="21"/>
            <w:u w:val="single"/>
          </w:rPr>
          <w:t>财库〔</w:t>
        </w:r>
        <w:r w:rsidRPr="00990F9A">
          <w:rPr>
            <w:rFonts w:ascii="Arial" w:eastAsia="宋体" w:hAnsi="Arial" w:cs="Arial"/>
            <w:color w:val="595959"/>
            <w:kern w:val="0"/>
            <w:szCs w:val="21"/>
            <w:u w:val="single"/>
          </w:rPr>
          <w:t>2002</w:t>
        </w:r>
        <w:r w:rsidRPr="00990F9A">
          <w:rPr>
            <w:rFonts w:ascii="Arial" w:eastAsia="宋体" w:hAnsi="Arial" w:cs="Arial"/>
            <w:color w:val="595959"/>
            <w:kern w:val="0"/>
            <w:szCs w:val="21"/>
            <w:u w:val="single"/>
          </w:rPr>
          <w:t>〕</w:t>
        </w:r>
        <w:r w:rsidRPr="00990F9A">
          <w:rPr>
            <w:rFonts w:ascii="Arial" w:eastAsia="宋体" w:hAnsi="Arial" w:cs="Arial"/>
            <w:color w:val="595959"/>
            <w:kern w:val="0"/>
            <w:szCs w:val="21"/>
            <w:u w:val="single"/>
          </w:rPr>
          <w:t>48</w:t>
        </w:r>
        <w:r w:rsidRPr="00990F9A">
          <w:rPr>
            <w:rFonts w:ascii="Arial" w:eastAsia="宋体" w:hAnsi="Arial" w:cs="Arial"/>
            <w:color w:val="595959"/>
            <w:kern w:val="0"/>
            <w:szCs w:val="21"/>
            <w:u w:val="single"/>
          </w:rPr>
          <w:t>号</w:t>
        </w:r>
      </w:hyperlink>
      <w:r w:rsidRPr="00990F9A">
        <w:rPr>
          <w:rFonts w:ascii="Arial" w:eastAsia="宋体" w:hAnsi="Arial" w:cs="Arial"/>
          <w:color w:val="000000"/>
          <w:kern w:val="0"/>
          <w:szCs w:val="21"/>
        </w:rPr>
        <w:t>文件、有关补充规定及本通知规定执行。</w:t>
      </w:r>
    </w:p>
    <w:p w14:paraId="0BA2ADAC" w14:textId="77777777" w:rsidR="00990F9A" w:rsidRPr="00990F9A" w:rsidRDefault="00990F9A" w:rsidP="00990F9A">
      <w:pPr>
        <w:widowControl/>
        <w:shd w:val="clear" w:color="auto" w:fill="FFFFFF"/>
        <w:spacing w:line="420" w:lineRule="atLeast"/>
        <w:ind w:firstLine="482"/>
        <w:rPr>
          <w:rFonts w:ascii="Arial" w:eastAsia="宋体" w:hAnsi="Arial" w:cs="Arial"/>
          <w:color w:val="000000"/>
          <w:kern w:val="0"/>
          <w:szCs w:val="21"/>
        </w:rPr>
      </w:pPr>
      <w:r w:rsidRPr="00990F9A">
        <w:rPr>
          <w:rFonts w:ascii="Arial" w:eastAsia="宋体" w:hAnsi="Arial" w:cs="Arial"/>
          <w:b/>
          <w:bCs/>
          <w:color w:val="000000"/>
          <w:kern w:val="0"/>
          <w:szCs w:val="21"/>
        </w:rPr>
        <w:t>二、调整银行账户审批、备案管理方式</w:t>
      </w:r>
    </w:p>
    <w:p w14:paraId="7AED4758"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对纳入管理范围的中央单位银行账户管理方式做如下调整：</w:t>
      </w:r>
    </w:p>
    <w:p w14:paraId="7BD6ED15"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（一）基本存款账户、外汇账户、专用存款账户继续实行审批管理方式；</w:t>
      </w:r>
    </w:p>
    <w:p w14:paraId="7F52310A"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（二）贷款转存款账户由备案管理方式调整为单位自主管理方式；</w:t>
      </w:r>
    </w:p>
    <w:p w14:paraId="0F305AED"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三）党费账户、工会经费账户、房改资金账户、离退休经费账户、定期存款账户，以及中央单位所属医院、门诊部为核算病人看病费用开设的有关银行账户等，由目前的审批或备案管理方式，全部调整为备案管理方式。</w:t>
      </w:r>
    </w:p>
    <w:p w14:paraId="4D1CE72D" w14:textId="77777777" w:rsidR="00990F9A" w:rsidRPr="00990F9A" w:rsidRDefault="00990F9A" w:rsidP="00990F9A">
      <w:pPr>
        <w:widowControl/>
        <w:shd w:val="clear" w:color="auto" w:fill="FFFFFF"/>
        <w:spacing w:line="420" w:lineRule="atLeast"/>
        <w:ind w:firstLine="482"/>
        <w:rPr>
          <w:rFonts w:ascii="Arial" w:eastAsia="宋体" w:hAnsi="Arial" w:cs="Arial"/>
          <w:color w:val="000000"/>
          <w:kern w:val="0"/>
          <w:szCs w:val="21"/>
        </w:rPr>
      </w:pPr>
      <w:r w:rsidRPr="00990F9A">
        <w:rPr>
          <w:rFonts w:ascii="Arial" w:eastAsia="宋体" w:hAnsi="Arial" w:cs="Arial"/>
          <w:b/>
          <w:bCs/>
          <w:color w:val="000000"/>
          <w:kern w:val="0"/>
          <w:szCs w:val="21"/>
        </w:rPr>
        <w:lastRenderedPageBreak/>
        <w:t>三、调整银行账户年检方式</w:t>
      </w:r>
    </w:p>
    <w:p w14:paraId="68DD8236"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对纳入管理范围的中央单位银行账户年检方式做如下调整：</w:t>
      </w:r>
    </w:p>
    <w:p w14:paraId="14D93BCB"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（一）将目前按年开展的年检方式，调整为每两年一个年检周期、每年按账户数量</w:t>
      </w:r>
      <w:r w:rsidRPr="00990F9A">
        <w:rPr>
          <w:rFonts w:ascii="Arial" w:eastAsia="宋体" w:hAnsi="Arial" w:cs="Arial"/>
          <w:color w:val="000000"/>
          <w:kern w:val="0"/>
          <w:szCs w:val="21"/>
        </w:rPr>
        <w:t>50%</w:t>
      </w:r>
      <w:r w:rsidRPr="00990F9A">
        <w:rPr>
          <w:rFonts w:ascii="Arial" w:eastAsia="宋体" w:hAnsi="Arial" w:cs="Arial"/>
          <w:color w:val="000000"/>
          <w:kern w:val="0"/>
          <w:szCs w:val="21"/>
        </w:rPr>
        <w:t>比例进行审检的方式。对年检结论为不合格或存在问题的中央单位，下一年度需继续实行年检。每年度审检单位的具体名单，由财政部、各财政监察专员办事处分别按照管理的中央单位范围研究确定。</w:t>
      </w:r>
    </w:p>
    <w:p w14:paraId="6CD79CFB"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（二）建立中央单位银行账户抽检机制。财政部和各财政监察专员办事处、中国人民银行和各分支机构，在各自的职责范围内，每年按照管理单位总量约</w:t>
      </w:r>
      <w:r w:rsidRPr="00990F9A">
        <w:rPr>
          <w:rFonts w:ascii="Arial" w:eastAsia="宋体" w:hAnsi="Arial" w:cs="Arial"/>
          <w:color w:val="000000"/>
          <w:kern w:val="0"/>
          <w:szCs w:val="21"/>
        </w:rPr>
        <w:t>3%</w:t>
      </w:r>
      <w:r w:rsidRPr="00990F9A">
        <w:rPr>
          <w:rFonts w:ascii="Arial" w:eastAsia="宋体" w:hAnsi="Arial" w:cs="Arial"/>
          <w:color w:val="000000"/>
          <w:kern w:val="0"/>
          <w:szCs w:val="21"/>
        </w:rPr>
        <w:t>的比例，对中央单位账户管理情况开展实地抽查，对抽查中发现的问题，按规定予以严肃处理。</w:t>
      </w:r>
    </w:p>
    <w:p w14:paraId="26AE38E7" w14:textId="77777777" w:rsidR="00990F9A" w:rsidRPr="00990F9A" w:rsidRDefault="00990F9A" w:rsidP="00990F9A">
      <w:pPr>
        <w:widowControl/>
        <w:shd w:val="clear" w:color="auto" w:fill="FFFFFF"/>
        <w:spacing w:line="420" w:lineRule="atLeast"/>
        <w:ind w:firstLine="482"/>
        <w:rPr>
          <w:rFonts w:ascii="Arial" w:eastAsia="宋体" w:hAnsi="Arial" w:cs="Arial"/>
          <w:color w:val="000000"/>
          <w:kern w:val="0"/>
          <w:szCs w:val="21"/>
        </w:rPr>
      </w:pPr>
      <w:r w:rsidRPr="00990F9A">
        <w:rPr>
          <w:rFonts w:ascii="Arial" w:eastAsia="宋体" w:hAnsi="Arial" w:cs="Arial"/>
          <w:b/>
          <w:bCs/>
          <w:color w:val="000000"/>
          <w:kern w:val="0"/>
          <w:szCs w:val="21"/>
        </w:rPr>
        <w:t>四、有关工作要求</w:t>
      </w:r>
    </w:p>
    <w:p w14:paraId="04C9C92B"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一）高度重视，抓好组织落实。各中央部门要高度重视此次调整工作，及时将调整事项具体内容通知所属基层单位，并做好政策宣传和工作指导，确保各基层单位全面掌握调整事项具体要求。各中央部门要及时梳理统计本部门所属各单位预算管理情况，在收到本通知１个月内，将本部门财政预算拨款单位和无财政预算拨款单位名单报财政部（国库司），并抄送中国人民银行（支付结算司）。后续管理中，如所属单位预算管理关系发生调整变化，应在</w:t>
      </w:r>
      <w:r w:rsidRPr="00990F9A">
        <w:rPr>
          <w:rFonts w:ascii="Arial" w:eastAsia="宋体" w:hAnsi="Arial" w:cs="Arial"/>
          <w:color w:val="000000"/>
          <w:kern w:val="0"/>
          <w:szCs w:val="21"/>
        </w:rPr>
        <w:t>2</w:t>
      </w:r>
      <w:r w:rsidRPr="00990F9A">
        <w:rPr>
          <w:rFonts w:ascii="Arial" w:eastAsia="宋体" w:hAnsi="Arial" w:cs="Arial"/>
          <w:color w:val="000000"/>
          <w:kern w:val="0"/>
          <w:szCs w:val="21"/>
        </w:rPr>
        <w:t>个月内，将变动情况和有关证明材料由中央部门书面报财政部（国库司），并抄送中国人民银行（支付结算司）。</w:t>
      </w:r>
    </w:p>
    <w:p w14:paraId="4C372287"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二）严格管理，规范财务行为。各级中央单位要继续加强账户和资金的统筹管理，除工会经费、住房公积金、提租补贴以及经财政部批准的特殊款项外，禁止将单位零余额账户资金违规转入本单位或上级主管单位、所属下级单位实存资金账户。财政部将进一步强化预算执行动态监控管理，重点监控中央单位</w:t>
      </w:r>
      <w:proofErr w:type="gramStart"/>
      <w:r w:rsidRPr="00990F9A">
        <w:rPr>
          <w:rFonts w:ascii="Arial" w:eastAsia="宋体" w:hAnsi="Arial" w:cs="Arial"/>
          <w:color w:val="000000"/>
          <w:kern w:val="0"/>
          <w:szCs w:val="21"/>
        </w:rPr>
        <w:t>内部零</w:t>
      </w:r>
      <w:proofErr w:type="gramEnd"/>
      <w:r w:rsidRPr="00990F9A">
        <w:rPr>
          <w:rFonts w:ascii="Arial" w:eastAsia="宋体" w:hAnsi="Arial" w:cs="Arial"/>
          <w:color w:val="000000"/>
          <w:kern w:val="0"/>
          <w:szCs w:val="21"/>
        </w:rPr>
        <w:t>余额账户与其他各类账户之间、中央单位相互之间违规划转资金的行为，发现违规问题的，将按有关规定严肃处理。</w:t>
      </w:r>
    </w:p>
    <w:p w14:paraId="7A347FD0"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三）完善机制，强化监管职责。财政部驻各地财政监察专员办事处要将中央单位银行账户管理列入财政综合监管的重点内容，发挥属地监管优势，加强管理监督；认真梳理属地中央单位范围和银行账户类型，做好政策调整后的账户审批、备案管理工作，对于不再纳入管理范围的中央单位，做好账户信息资料存档工作；科学安排年检工作次序，结合监管工作重点，合理确定年度抽检单位名单；综合运用账户监管成果，按时向财政部报送年检报告，并将年检和抽检中发现的问题及时通报人民银行当地分支机构。人民银行各分支机构按照本通知有关调整事项，要求开户银行做好相关工作。</w:t>
      </w:r>
    </w:p>
    <w:p w14:paraId="4B18488C"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本通知自印发之日起执行。各有关单位在执行中如遇问题，请及时告知财政部（国库司），联系电话：</w:t>
      </w:r>
      <w:r w:rsidRPr="00990F9A">
        <w:rPr>
          <w:rFonts w:ascii="Arial" w:eastAsia="宋体" w:hAnsi="Arial" w:cs="Arial"/>
          <w:color w:val="000000"/>
          <w:kern w:val="0"/>
          <w:szCs w:val="21"/>
        </w:rPr>
        <w:t>010-68553256</w:t>
      </w:r>
      <w:r w:rsidRPr="00990F9A">
        <w:rPr>
          <w:rFonts w:ascii="Arial" w:eastAsia="宋体" w:hAnsi="Arial" w:cs="Arial"/>
          <w:color w:val="000000"/>
          <w:kern w:val="0"/>
          <w:szCs w:val="21"/>
        </w:rPr>
        <w:t>。</w:t>
      </w:r>
      <w:r w:rsidRPr="00990F9A">
        <w:rPr>
          <w:rFonts w:ascii="Arial" w:eastAsia="宋体" w:hAnsi="Arial" w:cs="Arial"/>
          <w:color w:val="000000"/>
          <w:kern w:val="0"/>
          <w:szCs w:val="21"/>
        </w:rPr>
        <w:t> </w:t>
      </w:r>
    </w:p>
    <w:p w14:paraId="7DA3F19B" w14:textId="77777777" w:rsidR="00990F9A" w:rsidRPr="00990F9A" w:rsidRDefault="00990F9A" w:rsidP="00990F9A">
      <w:pPr>
        <w:widowControl/>
        <w:shd w:val="clear" w:color="auto" w:fill="FFFFFF"/>
        <w:spacing w:line="420" w:lineRule="atLeast"/>
        <w:ind w:firstLine="480"/>
        <w:rPr>
          <w:rFonts w:ascii="Arial" w:eastAsia="宋体" w:hAnsi="Arial" w:cs="Arial"/>
          <w:color w:val="000000"/>
          <w:kern w:val="0"/>
          <w:szCs w:val="21"/>
        </w:rPr>
      </w:pPr>
      <w:r w:rsidRPr="00990F9A">
        <w:rPr>
          <w:rFonts w:ascii="Arial" w:eastAsia="宋体" w:hAnsi="Arial" w:cs="Arial"/>
          <w:color w:val="000000"/>
          <w:kern w:val="0"/>
          <w:szCs w:val="21"/>
        </w:rPr>
        <w:t> </w:t>
      </w:r>
    </w:p>
    <w:p w14:paraId="1578C3D8" w14:textId="77777777" w:rsidR="00990F9A" w:rsidRPr="00990F9A" w:rsidRDefault="00990F9A" w:rsidP="00990F9A">
      <w:pPr>
        <w:widowControl/>
        <w:shd w:val="clear" w:color="auto" w:fill="FFFFFF"/>
        <w:spacing w:line="420" w:lineRule="atLeast"/>
        <w:ind w:firstLine="480"/>
        <w:jc w:val="right"/>
        <w:rPr>
          <w:rFonts w:ascii="Arial" w:eastAsia="宋体" w:hAnsi="Arial" w:cs="Arial"/>
          <w:color w:val="000000"/>
          <w:kern w:val="0"/>
          <w:szCs w:val="21"/>
        </w:rPr>
      </w:pPr>
      <w:r w:rsidRPr="00990F9A">
        <w:rPr>
          <w:rFonts w:ascii="Arial" w:eastAsia="宋体" w:hAnsi="Arial" w:cs="Arial"/>
          <w:color w:val="000000"/>
          <w:kern w:val="0"/>
          <w:szCs w:val="21"/>
        </w:rPr>
        <w:t>                                                   </w:t>
      </w:r>
      <w:r w:rsidRPr="00990F9A">
        <w:rPr>
          <w:rFonts w:ascii="Arial" w:eastAsia="宋体" w:hAnsi="Arial" w:cs="Arial"/>
          <w:color w:val="000000"/>
          <w:kern w:val="0"/>
          <w:szCs w:val="21"/>
        </w:rPr>
        <w:t>财政部</w:t>
      </w:r>
    </w:p>
    <w:p w14:paraId="54FDE4BF" w14:textId="77777777" w:rsidR="00990F9A" w:rsidRPr="00990F9A" w:rsidRDefault="00990F9A" w:rsidP="00990F9A">
      <w:pPr>
        <w:widowControl/>
        <w:shd w:val="clear" w:color="auto" w:fill="FFFFFF"/>
        <w:spacing w:line="420" w:lineRule="atLeast"/>
        <w:ind w:firstLine="6240"/>
        <w:jc w:val="right"/>
        <w:rPr>
          <w:rFonts w:ascii="Arial" w:eastAsia="宋体" w:hAnsi="Arial" w:cs="Arial"/>
          <w:color w:val="000000"/>
          <w:kern w:val="0"/>
          <w:szCs w:val="21"/>
        </w:rPr>
      </w:pPr>
      <w:r w:rsidRPr="00990F9A">
        <w:rPr>
          <w:rFonts w:ascii="Arial" w:eastAsia="宋体" w:hAnsi="Arial" w:cs="Arial"/>
          <w:color w:val="000000"/>
          <w:kern w:val="0"/>
          <w:szCs w:val="21"/>
        </w:rPr>
        <w:lastRenderedPageBreak/>
        <w:t>中国人民银行</w:t>
      </w:r>
    </w:p>
    <w:p w14:paraId="2B3D64D4" w14:textId="77777777" w:rsidR="00990F9A" w:rsidRPr="00990F9A" w:rsidRDefault="00990F9A" w:rsidP="00990F9A">
      <w:pPr>
        <w:widowControl/>
        <w:shd w:val="clear" w:color="auto" w:fill="FFFFFF"/>
        <w:spacing w:line="420" w:lineRule="atLeast"/>
        <w:ind w:firstLine="6120"/>
        <w:jc w:val="right"/>
        <w:rPr>
          <w:rFonts w:ascii="Arial" w:eastAsia="宋体" w:hAnsi="Arial" w:cs="Arial"/>
          <w:color w:val="000000"/>
          <w:kern w:val="0"/>
          <w:szCs w:val="21"/>
        </w:rPr>
      </w:pPr>
      <w:r w:rsidRPr="00990F9A">
        <w:rPr>
          <w:rFonts w:ascii="Arial" w:eastAsia="宋体" w:hAnsi="Arial" w:cs="Arial"/>
          <w:color w:val="000000"/>
          <w:kern w:val="0"/>
          <w:szCs w:val="21"/>
        </w:rPr>
        <w:t>2016</w:t>
      </w:r>
      <w:r w:rsidRPr="00990F9A">
        <w:rPr>
          <w:rFonts w:ascii="Arial" w:eastAsia="宋体" w:hAnsi="Arial" w:cs="Arial"/>
          <w:color w:val="000000"/>
          <w:kern w:val="0"/>
          <w:szCs w:val="21"/>
        </w:rPr>
        <w:t>年</w:t>
      </w:r>
      <w:r w:rsidRPr="00990F9A">
        <w:rPr>
          <w:rFonts w:ascii="Arial" w:eastAsia="宋体" w:hAnsi="Arial" w:cs="Arial"/>
          <w:color w:val="000000"/>
          <w:kern w:val="0"/>
          <w:szCs w:val="21"/>
        </w:rPr>
        <w:t>12</w:t>
      </w:r>
      <w:r w:rsidRPr="00990F9A">
        <w:rPr>
          <w:rFonts w:ascii="Arial" w:eastAsia="宋体" w:hAnsi="Arial" w:cs="Arial"/>
          <w:color w:val="000000"/>
          <w:kern w:val="0"/>
          <w:szCs w:val="21"/>
        </w:rPr>
        <w:t>月</w:t>
      </w:r>
      <w:r w:rsidRPr="00990F9A">
        <w:rPr>
          <w:rFonts w:ascii="Arial" w:eastAsia="宋体" w:hAnsi="Arial" w:cs="Arial"/>
          <w:color w:val="000000"/>
          <w:kern w:val="0"/>
          <w:szCs w:val="21"/>
        </w:rPr>
        <w:t>5</w:t>
      </w:r>
      <w:r w:rsidRPr="00990F9A">
        <w:rPr>
          <w:rFonts w:ascii="Arial" w:eastAsia="宋体" w:hAnsi="Arial" w:cs="Arial"/>
          <w:color w:val="000000"/>
          <w:kern w:val="0"/>
          <w:szCs w:val="21"/>
        </w:rPr>
        <w:t>日</w:t>
      </w:r>
    </w:p>
    <w:p w14:paraId="14DE6C33" w14:textId="77777777" w:rsidR="0093408E" w:rsidRPr="00990F9A" w:rsidRDefault="0069739A"/>
    <w:sectPr w:rsidR="0093408E" w:rsidRPr="00990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9A"/>
    <w:rsid w:val="001708A0"/>
    <w:rsid w:val="0069739A"/>
    <w:rsid w:val="00990F9A"/>
    <w:rsid w:val="00E3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2BF2"/>
  <w15:chartTrackingRefBased/>
  <w15:docId w15:val="{95F27B00-D945-411A-B5CA-ED6BFBDD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izi.org.cn/law/657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law/5645.html" TargetMode="External"/><Relationship Id="rId5" Type="http://schemas.openxmlformats.org/officeDocument/2006/relationships/hyperlink" Target="http://www.waizi.org.cn/law/6573.html" TargetMode="External"/><Relationship Id="rId4" Type="http://schemas.openxmlformats.org/officeDocument/2006/relationships/hyperlink" Target="http://www.waizi.org.cn/law/6573.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瞿 亮</dc:creator>
  <cp:keywords/>
  <dc:description/>
  <cp:lastModifiedBy>瞿 亮</cp:lastModifiedBy>
  <cp:revision>1</cp:revision>
  <dcterms:created xsi:type="dcterms:W3CDTF">2020-08-24T06:55:00Z</dcterms:created>
  <dcterms:modified xsi:type="dcterms:W3CDTF">2020-08-24T07:08:00Z</dcterms:modified>
</cp:coreProperties>
</file>