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hAnsi="黑体" w:eastAsia="黑体" w:cs="Times New Roman"/>
          <w:b/>
          <w:sz w:val="44"/>
          <w:szCs w:val="44"/>
        </w:rPr>
      </w:pPr>
      <w:bookmarkStart w:id="0" w:name="_Hlk24462820"/>
      <w:r>
        <w:rPr>
          <w:rFonts w:hint="eastAsia" w:ascii="黑体" w:hAnsi="黑体" w:eastAsia="黑体" w:cs="Times New Roman"/>
          <w:b/>
          <w:sz w:val="44"/>
          <w:szCs w:val="44"/>
        </w:rPr>
        <w:t>中国科学院单位内部往来业务管理</w:t>
      </w:r>
    </w:p>
    <w:p>
      <w:pPr>
        <w:jc w:val="center"/>
        <w:rPr>
          <w:rFonts w:ascii="黑体" w:hAnsi="黑体" w:eastAsia="黑体" w:cs="Times New Roman"/>
          <w:b/>
          <w:sz w:val="44"/>
          <w:szCs w:val="44"/>
        </w:rPr>
      </w:pPr>
      <w:r>
        <w:rPr>
          <w:rFonts w:hint="eastAsia" w:ascii="黑体" w:hAnsi="黑体" w:eastAsia="黑体" w:cs="Times New Roman"/>
          <w:b/>
          <w:sz w:val="44"/>
          <w:szCs w:val="44"/>
        </w:rPr>
        <w:t>指导意见（试行）</w:t>
      </w:r>
    </w:p>
    <w:p>
      <w:pPr>
        <w:spacing w:line="540" w:lineRule="exact"/>
        <w:jc w:val="center"/>
        <w:rPr>
          <w:rFonts w:ascii="黑体" w:hAnsi="黑体" w:eastAsia="黑体" w:cs="Times New Roman"/>
          <w:b/>
          <w:sz w:val="44"/>
          <w:szCs w:val="44"/>
        </w:rPr>
      </w:pPr>
    </w:p>
    <w:p>
      <w:pPr>
        <w:spacing w:line="540" w:lineRule="exact"/>
        <w:ind w:firstLine="640"/>
        <w:rPr>
          <w:rFonts w:ascii="仿宋" w:hAnsi="仿宋" w:eastAsia="仿宋" w:cs="Times New Roman"/>
          <w:bCs/>
          <w:sz w:val="32"/>
          <w:szCs w:val="32"/>
        </w:rPr>
      </w:pPr>
      <w:r>
        <w:rPr>
          <w:rFonts w:hint="eastAsia" w:ascii="仿宋" w:hAnsi="仿宋" w:eastAsia="仿宋" w:cs="Times New Roman"/>
          <w:bCs/>
          <w:sz w:val="32"/>
          <w:szCs w:val="32"/>
        </w:rPr>
        <w:t>为贯彻落实《国务院关于改进加强中央财政科研项目和资金管理的若干意见》、《中共中央国务院关于全面实施预算绩效管理的意见》及政府会计制度，依据国家有关法律、法规及财务规章制度</w:t>
      </w:r>
      <w:bookmarkStart w:id="1" w:name="_GoBack"/>
      <w:bookmarkEnd w:id="1"/>
      <w:r>
        <w:rPr>
          <w:rFonts w:hint="eastAsia" w:ascii="仿宋" w:hAnsi="仿宋" w:eastAsia="仿宋" w:cs="Times New Roman"/>
          <w:bCs/>
          <w:sz w:val="32"/>
          <w:szCs w:val="32"/>
        </w:rPr>
        <w:t>，结合我院各单位内部往来业务的实际情况，现提出如下指导意见：</w:t>
      </w:r>
    </w:p>
    <w:p>
      <w:pPr>
        <w:spacing w:line="540" w:lineRule="exact"/>
        <w:ind w:firstLine="640"/>
        <w:rPr>
          <w:rFonts w:ascii="黑体" w:hAnsi="黑体" w:eastAsia="黑体" w:cs="Times New Roman"/>
          <w:b/>
          <w:sz w:val="32"/>
          <w:szCs w:val="32"/>
        </w:rPr>
      </w:pPr>
      <w:r>
        <w:rPr>
          <w:rFonts w:hint="eastAsia" w:ascii="黑体" w:hAnsi="黑体" w:eastAsia="黑体" w:cs="Times New Roman"/>
          <w:b/>
          <w:bCs/>
          <w:sz w:val="32"/>
          <w:szCs w:val="32"/>
        </w:rPr>
        <w:t>一、</w:t>
      </w:r>
      <w:r>
        <w:rPr>
          <w:rFonts w:hint="eastAsia" w:ascii="黑体" w:hAnsi="黑体" w:eastAsia="黑体" w:cs="Times New Roman"/>
          <w:b/>
          <w:sz w:val="32"/>
          <w:szCs w:val="32"/>
        </w:rPr>
        <w:t>内部往来业务的内涵</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本指导意见所指内部往来业务是院属单位内部核算单元之间提供各项服务以及相关成本费用结算。主要包括：单位建立仪器设备共享平台为本单位项目提供测试化验、计算分析、设计加工、动物饲养、植物种植等服务；单位支撑部门为项目提供加工协作、车辆、住宿、文印、文献检索、会议服务等支撑服务；由单位统一管理的、项目实际耗费的水、电、暖、气等燃料动力消耗等。随着科研能力建设不断加强，科研院所规模不断扩大，围绕科研活动发生的内部往来业务大幅增加，成为科研活动的重要内容。</w:t>
      </w:r>
    </w:p>
    <w:p>
      <w:pPr>
        <w:spacing w:line="540" w:lineRule="exact"/>
        <w:ind w:firstLine="640"/>
        <w:rPr>
          <w:rFonts w:ascii="黑体" w:hAnsi="黑体" w:eastAsia="黑体" w:cs="Times New Roman"/>
          <w:b/>
          <w:sz w:val="32"/>
          <w:szCs w:val="32"/>
        </w:rPr>
      </w:pPr>
      <w:r>
        <w:rPr>
          <w:rFonts w:hint="eastAsia" w:ascii="黑体" w:hAnsi="黑体" w:eastAsia="黑体" w:cs="Times New Roman"/>
          <w:b/>
          <w:sz w:val="32"/>
          <w:szCs w:val="32"/>
        </w:rPr>
        <w:t>二、主要目的</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本指导意见旨在进一步规范院属事业单位（以下简称单位）内部往来业务管理，确保内部往来业务的真实性、相关性，保证资金的安全和规范使用，进一步提升单位成本核算水平，提高资金配置效率和使用效益，为深入开展科研预算绩效管理奠定基础。</w:t>
      </w:r>
    </w:p>
    <w:p>
      <w:pPr>
        <w:spacing w:line="540" w:lineRule="exact"/>
        <w:ind w:firstLine="640"/>
        <w:rPr>
          <w:rFonts w:ascii="黑体" w:hAnsi="黑体" w:eastAsia="黑体" w:cs="Times New Roman"/>
          <w:b/>
          <w:sz w:val="32"/>
          <w:szCs w:val="32"/>
        </w:rPr>
      </w:pPr>
      <w:r>
        <w:rPr>
          <w:rFonts w:hint="eastAsia" w:ascii="黑体" w:hAnsi="黑体" w:eastAsia="黑体" w:cs="Times New Roman"/>
          <w:b/>
          <w:sz w:val="32"/>
          <w:szCs w:val="32"/>
        </w:rPr>
        <w:t>三、基本原则</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内部往来业务应本着真实、相关、成本补偿、非盈利原则，具体内容包括：</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——真实性原则：内部往来业务必须以真实发生的业务为基础，进行管理和会计核算。</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——相关性原则：内部往来业务支出应以合同、任务书等为依据，与实际开展科研任务相关。</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——补偿性原则：内部往来业务结算应按照成本补偿原则，充分考虑各项成本耗费。</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——非盈利原则：内部往来业务不以市场化盈利为目的，不应在结算中产生利润。</w:t>
      </w:r>
    </w:p>
    <w:p>
      <w:pPr>
        <w:spacing w:line="540" w:lineRule="exact"/>
        <w:ind w:firstLine="640"/>
        <w:rPr>
          <w:rFonts w:ascii="黑体" w:hAnsi="黑体" w:eastAsia="黑体" w:cs="Times New Roman"/>
          <w:b/>
          <w:sz w:val="32"/>
          <w:szCs w:val="32"/>
        </w:rPr>
      </w:pPr>
      <w:r>
        <w:rPr>
          <w:rFonts w:hint="eastAsia" w:ascii="黑体" w:hAnsi="黑体" w:eastAsia="黑体" w:cs="Times New Roman"/>
          <w:b/>
          <w:sz w:val="32"/>
          <w:szCs w:val="32"/>
        </w:rPr>
        <w:t>四、加强内部往来业务成本核算</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单位应加强全成本核算管理，利用科学的成本归集和分摊方法，全面、准确反映内部往来业务各项资源耗费。成本核算范围包括：提供内部服务过程中仪器设备、实验耗材、实验用房使用所发生的相关成本；水、电、暖等经合理分摊后的运行支出；固定资产折旧、无形资产摊销等耗费以及与人力成本（不含财政资金来源的部分）相关的服务费等。</w:t>
      </w:r>
    </w:p>
    <w:p>
      <w:pPr>
        <w:spacing w:line="540" w:lineRule="exact"/>
        <w:ind w:firstLine="640"/>
        <w:rPr>
          <w:rFonts w:ascii="黑体" w:hAnsi="黑体" w:eastAsia="黑体" w:cs="Times New Roman"/>
          <w:b/>
          <w:sz w:val="32"/>
          <w:szCs w:val="32"/>
        </w:rPr>
      </w:pPr>
      <w:r>
        <w:rPr>
          <w:rFonts w:hint="eastAsia" w:ascii="黑体" w:hAnsi="黑体" w:eastAsia="黑体" w:cs="Times New Roman"/>
          <w:b/>
          <w:sz w:val="32"/>
          <w:szCs w:val="32"/>
        </w:rPr>
        <w:t>五、明确内部往来业务的财务管理</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一）单位应在成本核算基础上，完善内部往来业务结算。做好试剂耗材、人工、设备运行、燃料动力等成本核算信息归集工作，按照成本补偿原则，合理制定各项内部往来业务的收费标准。收费标准应经所务会批准，并在单位内部公示，原则上不得高于成本核算价格和对外服务价格。</w:t>
      </w:r>
    </w:p>
    <w:p>
      <w:pPr>
        <w:spacing w:line="540" w:lineRule="exact"/>
        <w:ind w:firstLine="640"/>
        <w:rPr>
          <w:rFonts w:ascii="黑体" w:hAnsi="黑体" w:eastAsia="黑体" w:cs="Times New Roman"/>
          <w:b/>
          <w:sz w:val="32"/>
          <w:szCs w:val="32"/>
        </w:rPr>
      </w:pPr>
      <w:r>
        <w:rPr>
          <w:rFonts w:hint="eastAsia" w:ascii="仿宋" w:hAnsi="仿宋" w:eastAsia="仿宋" w:cs="Times New Roman"/>
          <w:sz w:val="32"/>
          <w:szCs w:val="32"/>
        </w:rPr>
        <w:t>（二）内部往来业务结算时应符合内部业务的收费标准，有明确的计量办法、可操作的计量手段、合理的分摊依据以及手续完备的内部往来业务证明资料。结算时均应提供纸质或电子版业务申请审批单、测试报告、验收单、结算清单、服务记录等证明资料。</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三）单位应按照“收、支两条线”原则，对内部往来业务收入纳入单位预算，由单位统一管理，统筹用于各项科研业务相关支出。会计处理应按照政府会计制度执行。成本归集时，财务会计应按照权责发生制合理确定成本费用，涉及资金变动的业务应在预算会计记入预算支出。业务结算时，财务会计应依据结算金额将费用记入受益的核算单元，相应冲减已归集的费用，预算会计应同时在内部核算单元间进行支出调整，涉及银行账户资金划转的，应做相应账务处理。</w:t>
      </w:r>
    </w:p>
    <w:p>
      <w:pPr>
        <w:spacing w:line="540" w:lineRule="exact"/>
        <w:ind w:firstLine="640"/>
        <w:rPr>
          <w:rFonts w:ascii="黑体" w:hAnsi="黑体" w:eastAsia="黑体" w:cs="Times New Roman"/>
          <w:b/>
          <w:sz w:val="32"/>
          <w:szCs w:val="32"/>
        </w:rPr>
      </w:pPr>
      <w:r>
        <w:rPr>
          <w:rFonts w:hint="eastAsia" w:ascii="黑体" w:hAnsi="黑体" w:eastAsia="黑体" w:cs="Times New Roman"/>
          <w:b/>
          <w:sz w:val="32"/>
          <w:szCs w:val="32"/>
        </w:rPr>
        <w:t>六、规范内部往来业务过程管理</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（一）</w:t>
      </w:r>
      <w:r>
        <w:rPr>
          <w:rFonts w:ascii="仿宋" w:hAnsi="仿宋" w:eastAsia="仿宋" w:cs="Times New Roman"/>
          <w:sz w:val="32"/>
          <w:szCs w:val="32"/>
        </w:rPr>
        <w:t>单位</w:t>
      </w:r>
      <w:r>
        <w:rPr>
          <w:rFonts w:hint="eastAsia" w:ascii="仿宋" w:hAnsi="仿宋" w:eastAsia="仿宋" w:cs="Times New Roman"/>
          <w:sz w:val="32"/>
          <w:szCs w:val="32"/>
        </w:rPr>
        <w:t>应加强</w:t>
      </w:r>
      <w:r>
        <w:rPr>
          <w:rFonts w:ascii="仿宋" w:hAnsi="仿宋" w:eastAsia="仿宋" w:cs="Times New Roman"/>
          <w:sz w:val="32"/>
          <w:szCs w:val="32"/>
        </w:rPr>
        <w:t>内部科研平台</w:t>
      </w:r>
      <w:r>
        <w:rPr>
          <w:rFonts w:hint="eastAsia" w:ascii="仿宋" w:hAnsi="仿宋" w:eastAsia="仿宋" w:cs="Times New Roman"/>
          <w:sz w:val="32"/>
          <w:szCs w:val="32"/>
        </w:rPr>
        <w:t>管理，准确、全面的归集</w:t>
      </w:r>
      <w:r>
        <w:rPr>
          <w:rFonts w:ascii="仿宋" w:hAnsi="仿宋" w:eastAsia="仿宋" w:cs="Times New Roman"/>
          <w:sz w:val="32"/>
          <w:szCs w:val="32"/>
        </w:rPr>
        <w:t>为项目提供服务</w:t>
      </w:r>
      <w:r>
        <w:rPr>
          <w:rFonts w:hint="eastAsia" w:ascii="仿宋" w:hAnsi="仿宋" w:eastAsia="仿宋" w:cs="Times New Roman"/>
          <w:sz w:val="32"/>
          <w:szCs w:val="32"/>
        </w:rPr>
        <w:t>的相关成本。鼓励单位建立科研仪器共享服务平台为项目提供科研服务，并建立服务记录台账，详细记录项目名称、服务时间、服务数量、服务内容等。使用本项目经费购置或研制的设备和平台，不得在该项目执行期内再行列支费用。</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（二）单位应加强对</w:t>
      </w:r>
      <w:r>
        <w:rPr>
          <w:rFonts w:ascii="仿宋" w:hAnsi="仿宋" w:eastAsia="仿宋" w:cs="Times New Roman"/>
          <w:sz w:val="32"/>
          <w:szCs w:val="32"/>
        </w:rPr>
        <w:t>项目直接发生的水、电、煤、气、油等燃料动力的</w:t>
      </w:r>
      <w:r>
        <w:rPr>
          <w:rFonts w:hint="eastAsia" w:ascii="仿宋" w:hAnsi="仿宋" w:eastAsia="仿宋" w:cs="Times New Roman"/>
          <w:sz w:val="32"/>
          <w:szCs w:val="32"/>
        </w:rPr>
        <w:t>分摊管理。结合当地物价水平或以前年度历史水平进行合理测算，分别制定合理的水、电、煤、气、油等燃料动力结算分摊标准等。大型仪器设备、专用科学装置等发生的燃料动力费应单独计量或提供合理分摊依据。</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（三）单位</w:t>
      </w:r>
      <w:r>
        <w:rPr>
          <w:rFonts w:ascii="仿宋" w:hAnsi="仿宋" w:eastAsia="仿宋" w:cs="Times New Roman"/>
          <w:sz w:val="32"/>
          <w:szCs w:val="32"/>
        </w:rPr>
        <w:t>支撑管理部门为项目提供</w:t>
      </w:r>
      <w:r>
        <w:rPr>
          <w:rFonts w:hint="eastAsia" w:ascii="仿宋" w:hAnsi="仿宋" w:eastAsia="仿宋" w:cs="Times New Roman"/>
          <w:sz w:val="32"/>
          <w:szCs w:val="32"/>
        </w:rPr>
        <w:t>车辆使用、住宿、通讯、文印、文献检索、会议等服务的，结算时应提供详细记录，注明项目名称、服务事由、服务时间、收费标准等，据实结算。</w:t>
      </w:r>
    </w:p>
    <w:p>
      <w:pPr>
        <w:spacing w:line="540" w:lineRule="exact"/>
        <w:ind w:firstLine="640"/>
        <w:rPr>
          <w:rFonts w:ascii="仿宋" w:hAnsi="仿宋" w:eastAsia="仿宋" w:cs="Times New Roman"/>
          <w:b/>
          <w:sz w:val="32"/>
          <w:szCs w:val="32"/>
        </w:rPr>
      </w:pPr>
      <w:r>
        <w:rPr>
          <w:rFonts w:hint="eastAsia" w:ascii="黑体" w:hAnsi="黑体" w:eastAsia="黑体" w:cs="Times New Roman"/>
          <w:b/>
          <w:sz w:val="32"/>
          <w:szCs w:val="32"/>
        </w:rPr>
        <w:t>七、强化责任与监督管理</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（一）确保内部往来业务的真实性是单位的主体责任，单位应强化法人责任落实，建立健全内部往来业务管理制度、内部控制制度和内部公示制度，加强对内部往来业务的管理和监督。</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二）项目负责人及业务管理部门应对内部往来业务的真实性、相关性承担直接责任；科研平台管理、支撑管理等部门应加强对内部往来业务的真实性、相关性的审核，确保内部往来业务收费合理，计量记录真实完整；财务部门应加强对内部往来业务结算相关材料、手续的审核，规范会计核算；单位内部审计部门应对内部往来业务的真实性、规范性，以及手续的完备性、合规性进行监督检查。</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（三）</w:t>
      </w:r>
      <w:r>
        <w:rPr>
          <w:rFonts w:ascii="仿宋" w:hAnsi="仿宋" w:eastAsia="仿宋" w:cs="Times New Roman"/>
          <w:sz w:val="32"/>
          <w:szCs w:val="32"/>
        </w:rPr>
        <w:t>单位不得</w:t>
      </w:r>
      <w:r>
        <w:rPr>
          <w:rFonts w:hint="eastAsia" w:ascii="仿宋" w:hAnsi="仿宋" w:eastAsia="仿宋" w:cs="Times New Roman"/>
          <w:sz w:val="32"/>
          <w:szCs w:val="32"/>
        </w:rPr>
        <w:t>通过</w:t>
      </w:r>
      <w:r>
        <w:rPr>
          <w:rFonts w:ascii="仿宋" w:hAnsi="仿宋" w:eastAsia="仿宋" w:cs="Times New Roman"/>
          <w:sz w:val="32"/>
          <w:szCs w:val="32"/>
        </w:rPr>
        <w:t>虚构事项、虚增业务量、或不合理收费等方式变相转移或套取项目资金。</w:t>
      </w:r>
    </w:p>
    <w:p>
      <w:pPr>
        <w:spacing w:line="540" w:lineRule="exact"/>
        <w:ind w:firstLine="640"/>
        <w:rPr>
          <w:rFonts w:ascii="仿宋" w:hAnsi="仿宋" w:eastAsia="仿宋" w:cs="Times New Roman"/>
          <w:b/>
          <w:sz w:val="32"/>
          <w:szCs w:val="32"/>
        </w:rPr>
      </w:pPr>
      <w:r>
        <w:rPr>
          <w:rFonts w:hint="eastAsia" w:ascii="仿宋" w:hAnsi="仿宋" w:eastAsia="仿宋" w:cs="Times New Roman"/>
          <w:sz w:val="32"/>
          <w:szCs w:val="32"/>
        </w:rPr>
        <w:t>（四）</w:t>
      </w:r>
      <w:r>
        <w:rPr>
          <w:rFonts w:ascii="仿宋" w:hAnsi="仿宋" w:eastAsia="仿宋" w:cs="Times New Roman"/>
          <w:sz w:val="32"/>
          <w:szCs w:val="32"/>
        </w:rPr>
        <w:t>院条件保障与财务局、监督与审计局将定期或不定期对各单位内部往来业务进行督导检查，对违纪、违规问题依照相应程序进行处理，必要时追究有关人员的责任。</w:t>
      </w:r>
    </w:p>
    <w:p>
      <w:pPr>
        <w:spacing w:line="540" w:lineRule="exact"/>
        <w:ind w:firstLine="640"/>
        <w:rPr>
          <w:rFonts w:ascii="仿宋" w:hAnsi="仿宋" w:eastAsia="仿宋" w:cs="Times New Roman"/>
          <w:sz w:val="32"/>
          <w:szCs w:val="32"/>
        </w:rPr>
      </w:pPr>
      <w:r>
        <w:rPr>
          <w:rFonts w:hint="eastAsia" w:ascii="仿宋" w:hAnsi="仿宋" w:eastAsia="仿宋" w:cs="Times New Roman"/>
          <w:sz w:val="32"/>
          <w:szCs w:val="32"/>
        </w:rPr>
        <w:t>各单位应根据国家相关规定及本指导意见，结合本单位具体情况，制定本单位内部往来业务管理办法。</w:t>
      </w:r>
    </w:p>
    <w:bookmarkEnd w:id="0"/>
    <w:p>
      <w:pPr>
        <w:spacing w:line="540" w:lineRule="exact"/>
        <w:ind w:firstLine="640"/>
        <w:rPr>
          <w:rFonts w:ascii="仿宋" w:hAnsi="仿宋" w:eastAsia="仿宋"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05"/>
    <w:rsid w:val="002111F0"/>
    <w:rsid w:val="00212105"/>
    <w:rsid w:val="008D1EE3"/>
    <w:rsid w:val="00AC5A3D"/>
    <w:rsid w:val="00BE4F60"/>
    <w:rsid w:val="00F83974"/>
    <w:rsid w:val="2CB2434B"/>
    <w:rsid w:val="63486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318</Words>
  <Characters>1815</Characters>
  <Lines>15</Lines>
  <Paragraphs>4</Paragraphs>
  <TotalTime>18</TotalTime>
  <ScaleCrop>false</ScaleCrop>
  <LinksUpToDate>false</LinksUpToDate>
  <CharactersWithSpaces>2129</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hejun</cp:lastModifiedBy>
  <dcterms:modified xsi:type="dcterms:W3CDTF">2019-12-04T06:14:49Z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